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 xml:space="preserve">Шорина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Виктория Александровна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23:16:020201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1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163</w:t>
      </w:r>
      <w:r>
        <w:rPr>
          <w:rFonts w:ascii="Times New Roman" w:hAnsi="Times New Roman"/>
          <w:b/>
          <w:bCs/>
          <w:sz w:val="28"/>
          <w:szCs w:val="28"/>
        </w:rPr>
        <w:t xml:space="preserve"> расположенный по адресу: Краснодарский край, Курганинский район, ст.Темиргоевская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ул.</w:t>
      </w:r>
      <w:r>
        <w:rPr>
          <w:rFonts w:cs="" w:ascii="Times New Roman" w:hAnsi="Times New Roman" w:cstheme="minorBidi"/>
          <w:b/>
          <w:bCs/>
          <w:sz w:val="28"/>
          <w:szCs w:val="28"/>
        </w:rPr>
        <w:t>Журавлева</w:t>
      </w:r>
      <w:r>
        <w:rPr>
          <w:rFonts w:cs="" w:ascii="Times New Roman" w:hAnsi="Times New Roman" w:cstheme="minorBidi"/>
          <w:b/>
          <w:bCs/>
          <w:sz w:val="28"/>
          <w:szCs w:val="28"/>
        </w:rPr>
        <w:t>, 5</w:t>
      </w:r>
      <w:r>
        <w:rPr>
          <w:rFonts w:cs="" w:ascii="Times New Roman" w:hAnsi="Times New Roman" w:cstheme="minorBidi"/>
          <w:b/>
          <w:bCs/>
          <w:sz w:val="28"/>
          <w:szCs w:val="28"/>
        </w:rPr>
        <w:t>8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Ходырев Александр Иванович</w:t>
      </w: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  – земельный участок с кадастровым номером 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23:16:020201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1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: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163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 xml:space="preserve"> расположенный по адресу: Краснодарский край, Курганинский район, ст.Темиргоевская, ул.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Журавлева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, 5</w:t>
      </w:r>
      <w:r>
        <w:rPr>
          <w:rFonts w:eastAsia="Times New Roman" w:cs="" w:ascii="Times New Roman" w:hAnsi="Times New Roman" w:cstheme="minorBidi"/>
          <w:b/>
          <w:bCs/>
          <w:sz w:val="28"/>
          <w:szCs w:val="28"/>
          <w:lang w:eastAsia="ru-RU"/>
        </w:rPr>
        <w:t>8.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LibreOffice/24.2.6.2$Linux_X86_64 LibreOffice_project/420$Build-2</Application>
  <AppVersion>15.0000</AppVersion>
  <Pages>1</Pages>
  <Words>236</Words>
  <Characters>1873</Characters>
  <CharactersWithSpaces>2169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2025-12-18T14:22:35Z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